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PARENTAL LEAVE</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the importance of Parental Leave and is excited for employees who are welcoming a new member to their family. We will fully adhere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and would like to offer partial paid top-up for those embarking parental leave as outlined in this policy.</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“Top up” </w:t>
      </w:r>
      <w:r w:rsidDel="00000000" w:rsidR="00000000" w:rsidRPr="00000000">
        <w:rPr>
          <w:rFonts w:ascii="Calibri" w:cs="Calibri" w:eastAsia="Calibri" w:hAnsi="Calibri"/>
          <w:color w:val="222222"/>
          <w:highlight w:val="white"/>
          <w:rtl w:val="0"/>
        </w:rPr>
        <w:t xml:space="preserve">income is a taxable earning meaning </w:t>
      </w:r>
      <w:r w:rsidDel="00000000" w:rsidR="00000000" w:rsidRPr="00000000">
        <w:rPr>
          <w:rFonts w:ascii="Calibri" w:cs="Calibri" w:eastAsia="Calibri" w:hAnsi="Calibri"/>
          <w:highlight w:val="white"/>
          <w:rtl w:val="0"/>
        </w:rPr>
        <w:t xml:space="preserve">top-up pay during parental leave may affect an employee’s Employment Insurance (EI) benefits. [Organization Name] will therefore only</w:t>
      </w:r>
      <w:r w:rsidDel="00000000" w:rsidR="00000000" w:rsidRPr="00000000">
        <w:rPr>
          <w:rFonts w:ascii="Calibri" w:cs="Calibri" w:eastAsia="Calibri" w:hAnsi="Calibri"/>
          <w:color w:val="222222"/>
          <w:highlight w:val="white"/>
          <w:rtl w:val="0"/>
        </w:rPr>
        <w:t xml:space="preserve"> top up to an employee’s level of eligible Employment Insurance earnings.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parents are entitled to take parental leave of up to 61 or 63 weeks of unpaid time free from work. Parents may refer to a birth parent, an adoptive parent, or a person in a relationship with a parent of a child who plans on treating the child as their own. To be eligible, employees must have been hired by [Organization Name] at least 13 weeks prior to starting their parental leave.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61 weeks of leave. In the case of a birth mother who did not take pregnancy leave and any other new parents, they are entitled to up to 63 weeks of parental leave.</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78 weeks of the birth (or the date the baby first left the hospital to come home). For any other employees, parental leave must be started no later than 78 weeks after the date of the baby’s birth or the date the child came into their care, custody, and/or control. Note: the parental leave must be started in the 78 weeks, but is not required to be completed then. Employees may return early from leave but may not re-embark on the leave to use up any remaining time.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Paid Portion of Leave</w:t>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pleased to offer our employees paid top-up during parental leave as outlined below. Please note that top-up pay during parental leave may affect your Employment Insurance (EI) benefits.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PARAMETERS OF YOUR TOP UP: Example 3 months of top up / Different amounts of top up depending on length of service etc.]</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two weeks’ written notice before the start of a parental leave and four weeks’ written notice if they desire to return to work before their leave entitlement has been used up. If an emergency situation occurs and the parental leave needs to begin immediately, employees are required to provide their notice of the leave at least two weeks after starting the leave.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Sharing Leave Time</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leave taken by one or more employees under the ESA in respect of the same family member, child, or event is the entire amount of the leave; the leave is not doubled. Employees who are sharing the leave can be on leave at the same time, or at different times; the ESA does not provide restrictions for this. The sharing requirement applies whether or not the employees work for the same employer.</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seniority while on a job-protected leave.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4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07258"/>
    <w:rPr>
      <w:b w:val="1"/>
      <w:bCs w:val="1"/>
    </w:rPr>
  </w:style>
  <w:style w:type="character" w:styleId="CommentSubjectChar" w:customStyle="1">
    <w:name w:val="Comment Subject Char"/>
    <w:basedOn w:val="CommentTextChar"/>
    <w:link w:val="CommentSubject"/>
    <w:uiPriority w:val="99"/>
    <w:semiHidden w:val="1"/>
    <w:rsid w:val="00B07258"/>
    <w:rPr>
      <w:b w:val="1"/>
      <w:bCs w:val="1"/>
      <w:sz w:val="20"/>
      <w:szCs w:val="20"/>
    </w:rPr>
  </w:style>
  <w:style w:type="paragraph" w:styleId="ListParagraph">
    <w:name w:val="List Paragraph"/>
    <w:basedOn w:val="Normal"/>
    <w:uiPriority w:val="34"/>
    <w:qFormat w:val="1"/>
    <w:rsid w:val="00790635"/>
    <w:pPr>
      <w:ind w:left="720"/>
      <w:contextualSpacing w:val="1"/>
    </w:pPr>
  </w:style>
  <w:style w:type="character" w:styleId="Hyperlink">
    <w:name w:val="Hyperlink"/>
    <w:basedOn w:val="DefaultParagraphFont"/>
    <w:uiPriority w:val="99"/>
    <w:unhideWhenUsed w:val="1"/>
    <w:rsid w:val="006E13D4"/>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kLgl6MuOzci009pW2iTRk8dOg==">CgMxLjA4AHIhMXplZGV1Zzk0bktweXlvQWF1LURqVjM2aVlyZ2JMbkdl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2020-10-13T01:20:00Z</dcterms:created>
  <dc:creator>Kelly</dc:creator>
</cp:coreProperties>
</file>